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7"/>
    <w:p>
      <w:pPr>
        <w:pStyle w:val="Heading1"/>
      </w:pPr>
      <w:r>
        <w:t xml:space="preserve">Homiletics Analysis: Ezra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Ezra as a Whole:</w:t>
      </w:r>
      <w:r>
        <w:t xml:space="preserve"> </w:t>
      </w:r>
      <w:r>
        <w:t xml:space="preserve">Ezra 7 opens the book’s second major movement. Chapters 1–6 narrate the first return under Zerubbabel, the rebuilding of the altar and temple foundation, the long opposition and interruption, and the final completion and dedication of the temple under Darius. With the temple restored, chapters 7–10 introduce a second movement: the return under Ezra himself, focused not on the physical structure but on the spiritual and covenantal life of the people. Ezra 7 is the hinge — the introduction of the man, the mission, and the theological rationale for what follows.</w:t>
      </w:r>
    </w:p>
    <w:p>
      <w:pPr>
        <w:pStyle w:val="BodyText"/>
      </w:pPr>
      <w:r>
        <w:rPr>
          <w:b/>
          <w:bCs/>
        </w:rPr>
        <w:t xml:space="preserve">This Text — Content:</w:t>
      </w:r>
      <w:r>
        <w:t xml:space="preserve"> </w:t>
      </w:r>
      <w:r>
        <w:t xml:space="preserve">The chapter moves through four distinct moments. First, an extended genealogy traces Ezra’s lineage directly to Aaron through the high-priestly line (vv. 1–5), establishing his covenantal credentials as the one authorized to handle the Law. Second, a narrative introduction (vv. 6–10) characterizes Ezra as a skilled scribe who had set his heart to study, do, and teach the Law of Moses — and twice attributes his successful journey to</w:t>
      </w:r>
      <w:r>
        <w:t xml:space="preserve"> </w:t>
      </w:r>
      <w:r>
        <w:t xml:space="preserve">“the good hand of his God upon him.”</w:t>
      </w:r>
      <w:r>
        <w:t xml:space="preserve"> </w:t>
      </w:r>
      <w:r>
        <w:t xml:space="preserve">Third, Artaxerxes issues a royal letter (vv. 11–26) granting Ezra sweeping authority: permission for any Israelite to return with him, generous funding from the royal treasury, exemption of temple personnel from taxation, and authorization to appoint magistrates and enforce the Law — up to and including death. Fourth, Ezra responds with a doxology of praise (vv. 27–28), attributing the extraordinary royal decree entirely to the LORD who has</w:t>
      </w:r>
      <w:r>
        <w:t xml:space="preserve"> </w:t>
      </w:r>
      <w:r>
        <w:t xml:space="preserve">“put such a thing as this into the heart of the king.”</w:t>
      </w:r>
    </w:p>
    <w:p>
      <w:pPr>
        <w:pStyle w:val="BodyText"/>
      </w:pPr>
      <w:r>
        <w:rPr>
          <w:b/>
          <w:bCs/>
        </w:rPr>
        <w:t xml:space="preserve">This Text — Intent:</w:t>
      </w:r>
      <w:r>
        <w:t xml:space="preserve"> </w:t>
      </w:r>
      <w:r>
        <w:t xml:space="preserve">God intends this passage to demonstrate that His purposes for His covenant people are not thwarted by political realities, human limitation, or geographic displacement — and that He accomplishes those purposes through the preparation and sending of specifically qualified servants, while using even pagan kings as instruments of His sovereign will. The reader is meant to come away not merely informed that Ezra arrived in Jerusalem, but</w:t>
      </w:r>
      <w:r>
        <w:t xml:space="preserve"> </w:t>
      </w:r>
      <w:r>
        <w:rPr>
          <w:i/>
          <w:iCs/>
        </w:rPr>
        <w:t xml:space="preserve">persuaded</w:t>
      </w:r>
      <w:r>
        <w:t xml:space="preserve"> </w:t>
      </w:r>
      <w:r>
        <w:t xml:space="preserve">that the LORD is actively, providentially, purposefully at work to preserve His Word among His people — and that this work is reliable enough to stake one’s life and ministry on.</w:t>
      </w:r>
    </w:p>
    <w:p>
      <w:r>
        <w:pict>
          <v:rect style="width:0;height:1.5pt" o:hralign="center" o:hrstd="t" o:hr="t"/>
        </w:pict>
      </w:r>
    </w:p>
    <w:p>
      <w:pPr>
        <w:pStyle w:val="FirstParagraph"/>
      </w:pPr>
      <w:r>
        <w:rPr>
          <w:b/>
          <w:bCs/>
        </w:rPr>
        <w:t xml:space="preserve">Subject Sentence:</w:t>
      </w:r>
      <w:r>
        <w:t xml:space="preserve"> </w:t>
      </w:r>
      <w:r>
        <w:t xml:space="preserve">The LORD sovereignly sends His Word-bearer to restore the Law to His people.</w:t>
      </w:r>
    </w:p>
    <w:p>
      <w:r>
        <w:pict>
          <v:rect style="width:0;height:1.5pt" o:hralign="center" o:hrstd="t" o:hr="t"/>
        </w:pict>
      </w:r>
    </w:p>
    <w:p>
      <w:pPr>
        <w:pStyle w:val="FirstParagraph"/>
      </w:pPr>
      <w:r>
        <w:rPr>
          <w:b/>
          <w:bCs/>
        </w:rPr>
        <w:t xml:space="preserve">Primary Claim:</w:t>
      </w:r>
      <w:r>
        <w:t xml:space="preserve"> </w:t>
      </w:r>
      <w:r>
        <w:t xml:space="preserve">God is demonstrating — through a prepared scribe, a providential commission, and a pagan king’s decree — that His commitment to keeping His Word alive among His people is relentless and requires no human permission to advance.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royal letter and Artaxerxes’ motivations.</w:t>
      </w:r>
      <w:r>
        <w:t xml:space="preserve"> </w:t>
      </w:r>
      <w:r>
        <w:t xml:space="preserve">Some interpreters, particularly those reading with a political-historical emphasis, treat the royal letter of vv. 11–26 as primarily a political document — evidence of Persian administrative policy toward subject peoples, with theological significance incidental. Dispensational readings sometimes treat the letter as one of several candidate decrees fulfilling Daniel’s prophecy of the</w:t>
      </w:r>
      <w:r>
        <w:t xml:space="preserve"> </w:t>
      </w:r>
      <w:r>
        <w:t xml:space="preserve">“decree to restore and rebuild Jerusalem”</w:t>
      </w:r>
      <w:r>
        <w:t xml:space="preserve"> </w:t>
      </w:r>
      <w:r>
        <w:t xml:space="preserve">(Dan. 9:25), and therefore load it with eschatological weight beyond what Ezra 7 itself claims. The text neither invites nor supports the latter move — Ezra 7 does not invoke Daniel, and the decree’s purpose as stated is the teaching of the Law and appointment of judges, not urban reconstruction. The Reformed reading is preferable: Artaxerxes’ letter is a means by which God’s sovereign purpose operates through an unwitting instrument (cf. Prov. 21:1,</w:t>
      </w:r>
      <w:r>
        <w:t xml:space="preserve"> </w:t>
      </w:r>
      <w:r>
        <w:t xml:space="preserve">“the king’s heart is a stream of water in the hand of the LORD”</w:t>
      </w:r>
      <w:r>
        <w:t xml:space="preserve">). The letter’s extraordinary breadth is not political coincidence — Ezra’s doxology in vv. 27–28 explicitly and theologically reframes it as God’s doing.</w:t>
      </w:r>
    </w:p>
    <w:p>
      <w:pPr>
        <w:pStyle w:val="BodyText"/>
      </w:pPr>
      <w:r>
        <w:rPr>
          <w:b/>
          <w:bCs/>
        </w:rPr>
        <w:t xml:space="preserve">Ezra’s</w:t>
      </w:r>
      <w:r>
        <w:rPr>
          <w:b/>
          <w:bCs/>
        </w:rPr>
        <w:t xml:space="preserve"> </w:t>
      </w:r>
      <w:r>
        <w:rPr>
          <w:b/>
          <w:bCs/>
        </w:rPr>
        <w:t xml:space="preserve">“set his heart”</w:t>
      </w:r>
      <w:r>
        <w:rPr>
          <w:b/>
          <w:bCs/>
        </w:rPr>
        <w:t xml:space="preserve"> </w:t>
      </w:r>
      <w:r>
        <w:rPr>
          <w:b/>
          <w:bCs/>
        </w:rPr>
        <w:t xml:space="preserve">(v. 10) and the relationship between human preparation and divine providence.</w:t>
      </w:r>
      <w:r>
        <w:t xml:space="preserve"> </w:t>
      </w:r>
      <w:r>
        <w:t xml:space="preserve">Wesleyan/Arminian readings tend to emphasize v. 10 as a model of consecrated human will freely offered to God — Ezra’s decision to devote himself as the explanatory cause of the good hand of God upon him. This reading overweights human agency. The text’s sequencing and the repeated phrase</w:t>
      </w:r>
      <w:r>
        <w:t xml:space="preserve"> </w:t>
      </w:r>
      <w:r>
        <w:t xml:space="preserve">“the good hand of his God was upon him”</w:t>
      </w:r>
      <w:r>
        <w:t xml:space="preserve"> </w:t>
      </w:r>
      <w:r>
        <w:t xml:space="preserve">(vv. 6, 9) frames divine favor as primary and pervasive, not contingent on Ezra’s prior decision. At the same time, the text does not dissolve human preparation into passivity — Ezra’s deliberate, ordered discipline (study → do → teach) is genuinely present and genuinely commended. The Reformed reading holds both without collapsing either: God, who ordained the end (the restoration of the Law among the people), also ordained the means (a man thoroughly prepared over time), and that preparation is itself a gift of divine providence, not an independent human contribution that triggers divine response.</w:t>
      </w:r>
    </w:p>
    <w:p>
      <w:pPr>
        <w:pStyle w:val="BodyText"/>
      </w:pPr>
      <w:r>
        <w:rPr>
          <w:b/>
          <w:bCs/>
        </w:rPr>
        <w:t xml:space="preserve">The genealogy (vv. 1–5) as merely historical record.</w:t>
      </w:r>
      <w:r>
        <w:t xml:space="preserve"> </w:t>
      </w:r>
      <w:r>
        <w:t xml:space="preserve">Some preaching traditions pass quickly through the genealogy as genealogical filler — names to be acknowledged but not expounded. This misses the passage’s own logic. The genealogy is not filler — it is a theological credential. Traceable priestly lineage to Aaron was the only basis on which a man could legitimately handle the Law. Without it, Ezra’s authority is merely personal; with it, his mission is covenantally authorized. The Reformed reading takes the genealogy as the passage’s first argument: God sends not just a willing person but a</w:t>
      </w:r>
      <w:r>
        <w:t xml:space="preserve"> </w:t>
      </w:r>
      <w:r>
        <w:rPr>
          <w:i/>
          <w:iCs/>
        </w:rPr>
        <w:t xml:space="preserve">qualified</w:t>
      </w:r>
      <w:r>
        <w:t xml:space="preserve"> </w:t>
      </w:r>
      <w:r>
        <w:t xml:space="preserve">person — one whose fitness for the task is grounded in covenant structure, not in personal giftedness alone.</w:t>
      </w:r>
    </w:p>
    <w:p>
      <w:pPr>
        <w:pStyle w:val="BodyText"/>
      </w:pPr>
      <w:r>
        <w:rPr>
          <w:b/>
          <w:bCs/>
        </w:rPr>
        <w:t xml:space="preserve">No significant controversy exists regarding the unity or authorship of the chapter</w:t>
      </w:r>
      <w:r>
        <w:t xml:space="preserve"> </w:t>
      </w:r>
      <w:r>
        <w:t xml:space="preserve">beyond standard critical debates about the Aramaic letter sections, which do not materially affect exposition. The chapter functions as a coherent literary unit regardless of source-critical conclusions.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Provides the theological warrant for Ezra’s doxology: Artaxerxes’ decree is not a fortunate political development — it is the LORD directing the king’s heart precisely toward His own redemptive purposes.</w:t>
      </w:r>
    </w:p>
    <w:p>
      <w:pPr>
        <w:numPr>
          <w:ilvl w:val="0"/>
          <w:numId w:val="1001"/>
        </w:numPr>
      </w:pPr>
      <w:r>
        <w:rPr>
          <w:b/>
          <w:bCs/>
        </w:rPr>
        <w:t xml:space="preserve">Isaiah 44:28–45:1</w:t>
      </w:r>
      <w:r>
        <w:t xml:space="preserve"> </w:t>
      </w:r>
      <w:r>
        <w:t xml:space="preserve">— God names Cyrus by name generations before his birth and calls him His</w:t>
      </w:r>
      <w:r>
        <w:t xml:space="preserve"> </w:t>
      </w:r>
      <w:r>
        <w:t xml:space="preserve">“shepherd”</w:t>
      </w:r>
      <w:r>
        <w:t xml:space="preserve"> </w:t>
      </w:r>
      <w:r>
        <w:t xml:space="preserve">and His</w:t>
      </w:r>
      <w:r>
        <w:t xml:space="preserve"> </w:t>
      </w:r>
      <w:r>
        <w:t xml:space="preserve">“anointed”</w:t>
      </w:r>
      <w:r>
        <w:t xml:space="preserve"> </w:t>
      </w:r>
      <w:r>
        <w:t xml:space="preserve">— a pagan king conscripted as an instrument of the return from exile. Establishes the canonical pattern Ezra 7 repeats: God uses pagan imperial authority as a tool of covenant faithfulness.</w:t>
      </w:r>
    </w:p>
    <w:p>
      <w:pPr>
        <w:numPr>
          <w:ilvl w:val="0"/>
          <w:numId w:val="1001"/>
        </w:numPr>
      </w:pPr>
      <w:r>
        <w:rPr>
          <w:b/>
          <w:bCs/>
        </w:rPr>
        <w:t xml:space="preserve">Deuteronomy 17:18–20</w:t>
      </w:r>
      <w:r>
        <w:t xml:space="preserve"> </w:t>
      </w:r>
      <w:r>
        <w:t xml:space="preserve">— The king is to write out a copy of the Law and read it all the days of his life. The vision of a covenant community ordered by the Word of God — king and people alike shaped by Torah — is precisely what Ezra’s mission is meant to restore. Ezra arrives as the embodiment of Deuteronomy’s vision for a people formed by God’s Law.</w:t>
      </w:r>
    </w:p>
    <w:p>
      <w:pPr>
        <w:numPr>
          <w:ilvl w:val="0"/>
          <w:numId w:val="1001"/>
        </w:numPr>
      </w:pPr>
      <w:r>
        <w:rPr>
          <w:b/>
          <w:bCs/>
        </w:rPr>
        <w:t xml:space="preserve">Nehemiah 8:1–8</w:t>
      </w:r>
      <w:r>
        <w:t xml:space="preserve"> </w:t>
      </w:r>
      <w:r>
        <w:t xml:space="preserve">— The public reading of the Law under Ezra in Jerusalem, with careful explanation so the people understand what they hear. The fruit of the mission launched in Ezra 7: the Word of God, faithfully delivered and clearly taught, producing genuine understanding and corporate response. These chapters show the fulfillment of what Ezra 7 commissions.</w:t>
      </w:r>
    </w:p>
    <w:p>
      <w:pPr>
        <w:numPr>
          <w:ilvl w:val="0"/>
          <w:numId w:val="1001"/>
        </w:numPr>
      </w:pPr>
      <w:r>
        <w:rPr>
          <w:b/>
          <w:bCs/>
        </w:rPr>
        <w:t xml:space="preserve">2 Timothy 3:16–4:2</w:t>
      </w:r>
      <w:r>
        <w:t xml:space="preserve"> </w:t>
      </w:r>
      <w:r>
        <w:t xml:space="preserve">—</w:t>
      </w:r>
      <w:r>
        <w:t xml:space="preserve"> </w:t>
      </w:r>
      <w:r>
        <w:t xml:space="preserve">“Preach the word… in season and out of season.”</w:t>
      </w:r>
      <w:r>
        <w:t xml:space="preserve"> </w:t>
      </w:r>
      <w:r>
        <w:t xml:space="preserve">The New Testament’s extension of the same burden: God’s covenant community is sustained and shaped by the faithful delivery of His Word through qualified, devoted servants. Ezra’s three-part commission (study → do → teach) anticipates the New Testament pattern of Word-ministry as the irreplaceable means of community formation.</w:t>
      </w:r>
    </w:p>
    <w:p>
      <w:r>
        <w:pict>
          <v:rect style="width:0;height:1.5pt" o:hralign="center" o:hrstd="t" o:hr="t"/>
        </w:pict>
      </w:r>
    </w:p>
    <w:p>
      <w:pPr>
        <w:pStyle w:val="FirstParagraph"/>
      </w:pPr>
      <w:r>
        <w:rPr>
          <w:b/>
          <w:bCs/>
        </w:rPr>
        <w:t xml:space="preserve">Aim:</w:t>
      </w:r>
      <w:r>
        <w:t xml:space="preserve"> </w:t>
      </w:r>
      <w:r>
        <w:t xml:space="preserve">To show that God’s commitment to preserving and delivering His Word to His people is so sovereign and so purposeful that it transforms how we understand human preparation, institutional power, and the calling of those entrusted with teaching — and to call readers to the same ordered, embodied devotion to the Word that characterized Ezra.</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Narrative introduction:</w:t>
            </w:r>
            <w:r>
              <w:t xml:space="preserve"> </w:t>
            </w:r>
            <w:r>
              <w:t xml:space="preserve">“After these things”</w:t>
            </w:r>
            <w:r>
              <w:t xml:space="preserve"> </w:t>
            </w:r>
            <w:r>
              <w:t xml:space="preserve">— linking to the completed temple</w:t>
            </w:r>
          </w:p>
        </w:tc>
        <w:tc>
          <w:tcPr/>
          <w:p>
            <w:pPr>
              <w:pStyle w:val="Compact"/>
            </w:pPr>
            <w:r>
              <w:t xml:space="preserve">Marks the chapter as the beginning of the second movement in Ezra</w:t>
            </w:r>
          </w:p>
        </w:tc>
      </w:tr>
      <w:tr>
        <w:tc>
          <w:tcPr/>
          <w:p>
            <w:pPr>
              <w:pStyle w:val="Compact"/>
            </w:pPr>
            <w:r>
              <w:t xml:space="preserve">1b–5</w:t>
            </w:r>
          </w:p>
        </w:tc>
        <w:tc>
          <w:tcPr/>
          <w:p>
            <w:pPr>
              <w:pStyle w:val="Compact"/>
            </w:pPr>
            <w:r>
              <w:t xml:space="preserve">Genealogy tracing Ezra from Aaron through the high-priestly line</w:t>
            </w:r>
          </w:p>
        </w:tc>
        <w:tc>
          <w:tcPr/>
          <w:p>
            <w:pPr>
              <w:pStyle w:val="Compact"/>
            </w:pPr>
            <w:r>
              <w:t xml:space="preserve">16 names; several ancestors omitted (cf. 1 Chron. 6) for narrative economy; the theological point is the unbroken line to Aaron</w:t>
            </w:r>
          </w:p>
        </w:tc>
      </w:tr>
      <w:tr>
        <w:tc>
          <w:tcPr/>
          <w:p>
            <w:pPr>
              <w:pStyle w:val="Compact"/>
            </w:pPr>
            <w:r>
              <w:t xml:space="preserve">6a</w:t>
            </w:r>
          </w:p>
        </w:tc>
        <w:tc>
          <w:tcPr/>
          <w:p>
            <w:pPr>
              <w:pStyle w:val="Compact"/>
            </w:pPr>
            <w:r>
              <w:t xml:space="preserve">Ezra identified as</w:t>
            </w:r>
            <w:r>
              <w:t xml:space="preserve"> </w:t>
            </w:r>
            <w:r>
              <w:t xml:space="preserve">“a scribe skilled in the Law of Moses”</w:t>
            </w:r>
          </w:p>
        </w:tc>
        <w:tc>
          <w:tcPr/>
          <w:p>
            <w:pPr>
              <w:pStyle w:val="Compact"/>
            </w:pPr>
            <w:r>
              <w:t xml:space="preserve">The Hebrew</w:t>
            </w:r>
            <w:r>
              <w:t xml:space="preserve"> </w:t>
            </w:r>
            <w:r>
              <w:rPr>
                <w:i/>
                <w:iCs/>
              </w:rPr>
              <w:t xml:space="preserve">sopher mahir</w:t>
            </w:r>
            <w:r>
              <w:t xml:space="preserve"> </w:t>
            </w:r>
            <w:r>
              <w:t xml:space="preserve">denotes expert proficiency — not merely a copyist but a trained interpreter</w:t>
            </w:r>
          </w:p>
        </w:tc>
      </w:tr>
      <w:tr>
        <w:tc>
          <w:tcPr/>
          <w:p>
            <w:pPr>
              <w:pStyle w:val="Compact"/>
            </w:pPr>
            <w:r>
              <w:t xml:space="preserve">6b</w:t>
            </w:r>
          </w:p>
        </w:tc>
        <w:tc>
          <w:tcPr/>
          <w:p>
            <w:pPr>
              <w:pStyle w:val="Compact"/>
            </w:pPr>
            <w:r>
              <w:t xml:space="preserve">The king grants Ezra</w:t>
            </w:r>
            <w:r>
              <w:t xml:space="preserve"> </w:t>
            </w:r>
            <w:r>
              <w:t xml:space="preserve">“all that he asked”</w:t>
            </w:r>
          </w:p>
        </w:tc>
        <w:tc>
          <w:tcPr/>
          <w:p>
            <w:pPr>
              <w:pStyle w:val="Compact"/>
            </w:pPr>
            <w:r>
              <w:t xml:space="preserve">Extraordinary scope of royal favor noted immediately</w:t>
            </w:r>
          </w:p>
        </w:tc>
      </w:tr>
      <w:tr>
        <w:tc>
          <w:tcPr/>
          <w:p>
            <w:pPr>
              <w:pStyle w:val="Compact"/>
            </w:pPr>
            <w:r>
              <w:t xml:space="preserve">6c</w:t>
            </w:r>
          </w:p>
        </w:tc>
        <w:tc>
          <w:tcPr/>
          <w:p>
            <w:pPr>
              <w:pStyle w:val="Compact"/>
            </w:pPr>
            <w:r>
              <w:t xml:space="preserve">“For the good hand of his God was upon him”</w:t>
            </w:r>
          </w:p>
        </w:tc>
        <w:tc>
          <w:tcPr/>
          <w:p>
            <w:pPr>
              <w:pStyle w:val="Compact"/>
            </w:pPr>
            <w:r>
              <w:t xml:space="preserve">First occurrence of the key theological refrain (cf. v. 9, v. 28)</w:t>
            </w:r>
          </w:p>
        </w:tc>
      </w:tr>
      <w:tr>
        <w:tc>
          <w:tcPr/>
          <w:p>
            <w:pPr>
              <w:pStyle w:val="Compact"/>
            </w:pPr>
            <w:r>
              <w:t xml:space="preserve">7</w:t>
            </w:r>
          </w:p>
        </w:tc>
        <w:tc>
          <w:tcPr/>
          <w:p>
            <w:pPr>
              <w:pStyle w:val="Compact"/>
            </w:pPr>
            <w:r>
              <w:t xml:space="preserve">The returning community: Israelites, priests, Levites, singers, gatekeepers, and temple servants</w:t>
            </w:r>
          </w:p>
        </w:tc>
        <w:tc>
          <w:tcPr/>
          <w:p>
            <w:pPr>
              <w:pStyle w:val="Compact"/>
            </w:pPr>
            <w:r>
              <w:t xml:space="preserve">The full covenant community returning, not merely a priestly cohort</w:t>
            </w:r>
          </w:p>
        </w:tc>
      </w:tr>
      <w:tr>
        <w:tc>
          <w:tcPr/>
          <w:p>
            <w:pPr>
              <w:pStyle w:val="Compact"/>
            </w:pPr>
            <w:r>
              <w:t xml:space="preserve">8–9a</w:t>
            </w:r>
          </w:p>
        </w:tc>
        <w:tc>
          <w:tcPr/>
          <w:p>
            <w:pPr>
              <w:pStyle w:val="Compact"/>
            </w:pPr>
            <w:r>
              <w:t xml:space="preserve">Journey timetable: departure 1st day of 1st month; arrival 1st day of 5th month</w:t>
            </w:r>
          </w:p>
        </w:tc>
        <w:tc>
          <w:tcPr/>
          <w:p>
            <w:pPr>
              <w:pStyle w:val="Compact"/>
            </w:pPr>
            <w:r>
              <w:t xml:space="preserve">Four-month journey; the specificity underscores the reliability of the record and the magnitude of the undertaking</w:t>
            </w:r>
          </w:p>
        </w:tc>
      </w:tr>
      <w:tr>
        <w:tc>
          <w:tcPr/>
          <w:p>
            <w:pPr>
              <w:pStyle w:val="Compact"/>
            </w:pPr>
            <w:r>
              <w:t xml:space="preserve">9b</w:t>
            </w:r>
          </w:p>
        </w:tc>
        <w:tc>
          <w:tcPr/>
          <w:p>
            <w:pPr>
              <w:pStyle w:val="Compact"/>
            </w:pPr>
            <w:r>
              <w:t xml:space="preserve">“For the good hand of his God was upon him”</w:t>
            </w:r>
          </w:p>
        </w:tc>
        <w:tc>
          <w:tcPr/>
          <w:p>
            <w:pPr>
              <w:pStyle w:val="Compact"/>
            </w:pPr>
            <w:r>
              <w:t xml:space="preserve">Second occurrence of the refrain; frames the journey’s completion as divine gift</w:t>
            </w:r>
          </w:p>
        </w:tc>
      </w:tr>
      <w:tr>
        <w:tc>
          <w:tcPr/>
          <w:p>
            <w:pPr>
              <w:pStyle w:val="Compact"/>
            </w:pPr>
            <w:r>
              <w:t xml:space="preserve">10</w:t>
            </w:r>
          </w:p>
        </w:tc>
        <w:tc>
          <w:tcPr/>
          <w:p>
            <w:pPr>
              <w:pStyle w:val="Compact"/>
            </w:pPr>
            <w:r>
              <w:t xml:space="preserve">“For Ezra had set his heart to study the Law of the LORD, and to do it and to teach his statutes and rules in Israel”</w:t>
            </w:r>
          </w:p>
        </w:tc>
        <w:tc>
          <w:tcPr/>
          <w:p>
            <w:pPr>
              <w:pStyle w:val="Compact"/>
            </w:pPr>
            <w:r>
              <w:t xml:space="preserve">The programmatic statement of Ezra’s threefold ordered commitment: study → practice → teach; this verse is the theological center of the narrative introduction</w:t>
            </w:r>
          </w:p>
        </w:tc>
      </w:tr>
      <w:tr>
        <w:tc>
          <w:tcPr/>
          <w:p>
            <w:pPr>
              <w:pStyle w:val="Compact"/>
            </w:pPr>
            <w:r>
              <w:t xml:space="preserve">11</w:t>
            </w:r>
          </w:p>
        </w:tc>
        <w:tc>
          <w:tcPr/>
          <w:p>
            <w:pPr>
              <w:pStyle w:val="Compact"/>
            </w:pPr>
            <w:r>
              <w:t xml:space="preserve">Description of the letter:</w:t>
            </w:r>
            <w:r>
              <w:t xml:space="preserve"> </w:t>
            </w:r>
            <w:r>
              <w:t xml:space="preserve">“the priest Ezra, the scribe, a man learned in matters of the commandments of the LORD”</w:t>
            </w:r>
          </w:p>
        </w:tc>
        <w:tc>
          <w:tcPr/>
          <w:p>
            <w:pPr>
              <w:pStyle w:val="Compact"/>
            </w:pPr>
            <w:r>
              <w:t xml:space="preserve">Artaxerxes’ own description validates Ezra’s credentials in royal terms</w:t>
            </w:r>
          </w:p>
        </w:tc>
      </w:tr>
      <w:tr>
        <w:tc>
          <w:tcPr/>
          <w:p>
            <w:pPr>
              <w:pStyle w:val="Compact"/>
            </w:pPr>
            <w:r>
              <w:t xml:space="preserve">12–13</w:t>
            </w:r>
          </w:p>
        </w:tc>
        <w:tc>
          <w:tcPr/>
          <w:p>
            <w:pPr>
              <w:pStyle w:val="Compact"/>
            </w:pPr>
            <w:r>
              <w:t xml:space="preserve">Salutation and permission for any Israelite to accompany Ezra to Jerusalem</w:t>
            </w:r>
          </w:p>
        </w:tc>
        <w:tc>
          <w:tcPr/>
          <w:p>
            <w:pPr>
              <w:pStyle w:val="Compact"/>
            </w:pPr>
            <w:r>
              <w:t xml:space="preserve">Voluntary return; the decree does not compel but opens the way</w:t>
            </w:r>
          </w:p>
        </w:tc>
      </w:tr>
      <w:tr>
        <w:tc>
          <w:tcPr/>
          <w:p>
            <w:pPr>
              <w:pStyle w:val="Compact"/>
            </w:pPr>
            <w:r>
              <w:t xml:space="preserve">14</w:t>
            </w:r>
          </w:p>
        </w:tc>
        <w:tc>
          <w:tcPr/>
          <w:p>
            <w:pPr>
              <w:pStyle w:val="Compact"/>
            </w:pPr>
            <w:r>
              <w:t xml:space="preserve">Authorization to inquire about Judah and Jerusalem according to the Law in Ezra’s hand</w:t>
            </w:r>
          </w:p>
        </w:tc>
        <w:tc>
          <w:tcPr/>
          <w:p>
            <w:pPr>
              <w:pStyle w:val="Compact"/>
            </w:pPr>
            <w:r>
              <w:t xml:space="preserve">The Law itself is the governing standard — Ezra’s authority is delegated from the text he carries</w:t>
            </w:r>
          </w:p>
        </w:tc>
      </w:tr>
      <w:tr>
        <w:tc>
          <w:tcPr/>
          <w:p>
            <w:pPr>
              <w:pStyle w:val="Compact"/>
            </w:pPr>
            <w:r>
              <w:t xml:space="preserve">15–16</w:t>
            </w:r>
          </w:p>
        </w:tc>
        <w:tc>
          <w:tcPr/>
          <w:p>
            <w:pPr>
              <w:pStyle w:val="Compact"/>
            </w:pPr>
            <w:r>
              <w:t xml:space="preserve">Provision of silver and gold from the king and his counselors, plus freewill offerings</w:t>
            </w:r>
          </w:p>
        </w:tc>
        <w:tc>
          <w:tcPr/>
          <w:p>
            <w:pPr>
              <w:pStyle w:val="Compact"/>
            </w:pPr>
            <w:r>
              <w:t xml:space="preserve">Royal patronage combined with covenant community generosity</w:t>
            </w:r>
          </w:p>
        </w:tc>
      </w:tr>
      <w:tr>
        <w:tc>
          <w:tcPr/>
          <w:p>
            <w:pPr>
              <w:pStyle w:val="Compact"/>
            </w:pPr>
            <w:r>
              <w:t xml:space="preserve">17</w:t>
            </w:r>
          </w:p>
        </w:tc>
        <w:tc>
          <w:tcPr/>
          <w:p>
            <w:pPr>
              <w:pStyle w:val="Compact"/>
            </w:pPr>
            <w:r>
              <w:t xml:space="preserve">Specified use of funds: sacrifices for the altar in Jerusalem</w:t>
            </w:r>
          </w:p>
        </w:tc>
        <w:tc>
          <w:tcPr/>
          <w:p>
            <w:pPr>
              <w:pStyle w:val="Compact"/>
            </w:pPr>
            <w:r>
              <w:t xml:space="preserve">The money is earmarked for worship — the king funds what he does not understand</w:t>
            </w:r>
          </w:p>
        </w:tc>
      </w:tr>
      <w:tr>
        <w:tc>
          <w:tcPr/>
          <w:p>
            <w:pPr>
              <w:pStyle w:val="Compact"/>
            </w:pPr>
            <w:r>
              <w:t xml:space="preserve">18</w:t>
            </w:r>
          </w:p>
        </w:tc>
        <w:tc>
          <w:tcPr/>
          <w:p>
            <w:pPr>
              <w:pStyle w:val="Compact"/>
            </w:pPr>
            <w:r>
              <w:t xml:space="preserve">Discretion granted for remaining funds</w:t>
            </w:r>
            <w:r>
              <w:t xml:space="preserve"> </w:t>
            </w:r>
            <w:r>
              <w:t xml:space="preserve">“according to the will of your God”</w:t>
            </w:r>
          </w:p>
        </w:tc>
        <w:tc>
          <w:tcPr/>
          <w:p>
            <w:pPr>
              <w:pStyle w:val="Compact"/>
            </w:pPr>
            <w:r>
              <w:t xml:space="preserve">Remarkable phrasing — the pagan king defers to the will of Israel’s God</w:t>
            </w:r>
          </w:p>
        </w:tc>
      </w:tr>
      <w:tr>
        <w:tc>
          <w:tcPr/>
          <w:p>
            <w:pPr>
              <w:pStyle w:val="Compact"/>
            </w:pPr>
            <w:r>
              <w:t xml:space="preserve">19–20</w:t>
            </w:r>
          </w:p>
        </w:tc>
        <w:tc>
          <w:tcPr/>
          <w:p>
            <w:pPr>
              <w:pStyle w:val="Compact"/>
            </w:pPr>
            <w:r>
              <w:t xml:space="preserve">Temple vessels and additional needs to be supplied from the royal treasury</w:t>
            </w:r>
          </w:p>
        </w:tc>
        <w:tc>
          <w:tcPr/>
          <w:p>
            <w:pPr>
              <w:pStyle w:val="Compact"/>
            </w:pPr>
            <w:r>
              <w:t xml:space="preserve">The breadth of imperial provision is underscored</w:t>
            </w:r>
          </w:p>
        </w:tc>
      </w:tr>
      <w:tr>
        <w:tc>
          <w:tcPr/>
          <w:p>
            <w:pPr>
              <w:pStyle w:val="Compact"/>
            </w:pPr>
            <w:r>
              <w:t xml:space="preserve">21–22</w:t>
            </w:r>
          </w:p>
        </w:tc>
        <w:tc>
          <w:tcPr/>
          <w:p>
            <w:pPr>
              <w:pStyle w:val="Compact"/>
            </w:pPr>
            <w:r>
              <w:t xml:space="preserve">Royal decree to treasurers west of the Euphrates: provision up to fixed limits (silver, wheat, wine, oil, salt)</w:t>
            </w:r>
          </w:p>
        </w:tc>
        <w:tc>
          <w:tcPr/>
          <w:p>
            <w:pPr>
              <w:pStyle w:val="Compact"/>
            </w:pPr>
            <w:r>
              <w:t xml:space="preserve">The empire’s administrative infrastructure placed in service of the temple</w:t>
            </w:r>
          </w:p>
        </w:tc>
      </w:tr>
      <w:tr>
        <w:tc>
          <w:tcPr/>
          <w:p>
            <w:pPr>
              <w:pStyle w:val="Compact"/>
            </w:pPr>
            <w:r>
              <w:t xml:space="preserve">23</w:t>
            </w:r>
          </w:p>
        </w:tc>
        <w:tc>
          <w:tcPr/>
          <w:p>
            <w:pPr>
              <w:pStyle w:val="Compact"/>
            </w:pPr>
            <w:r>
              <w:t xml:space="preserve">“Whatever is decreed by the God of heaven, let it be done in full for the house of the God of heaven”</w:t>
            </w:r>
          </w:p>
        </w:tc>
        <w:tc>
          <w:tcPr/>
          <w:p>
            <w:pPr>
              <w:pStyle w:val="Compact"/>
            </w:pPr>
            <w:r>
              <w:t xml:space="preserve">The closest Artaxerxes comes to theological acknowledgment: pragmatic reverence, not saving faith — but used by God nonetheless</w:t>
            </w:r>
          </w:p>
        </w:tc>
      </w:tr>
      <w:tr>
        <w:tc>
          <w:tcPr/>
          <w:p>
            <w:pPr>
              <w:pStyle w:val="Compact"/>
            </w:pPr>
            <w:r>
              <w:t xml:space="preserve">24</w:t>
            </w:r>
          </w:p>
        </w:tc>
        <w:tc>
          <w:tcPr/>
          <w:p>
            <w:pPr>
              <w:pStyle w:val="Compact"/>
            </w:pPr>
            <w:r>
              <w:t xml:space="preserve">Tax exemption for all temple personnel</w:t>
            </w:r>
          </w:p>
        </w:tc>
        <w:tc>
          <w:tcPr/>
          <w:p>
            <w:pPr>
              <w:pStyle w:val="Compact"/>
            </w:pPr>
            <w:r>
              <w:t xml:space="preserve">Protects the financial viability of the cult</w:t>
            </w:r>
          </w:p>
        </w:tc>
      </w:tr>
      <w:tr>
        <w:tc>
          <w:tcPr/>
          <w:p>
            <w:pPr>
              <w:pStyle w:val="Compact"/>
            </w:pPr>
            <w:r>
              <w:t xml:space="preserve">25</w:t>
            </w:r>
          </w:p>
        </w:tc>
        <w:tc>
          <w:tcPr/>
          <w:p>
            <w:pPr>
              <w:pStyle w:val="Compact"/>
            </w:pPr>
            <w:r>
              <w:t xml:space="preserve">Ezra authorized to appoint judges and magistrates for all Jews in the Trans-Euphrates region</w:t>
            </w:r>
          </w:p>
        </w:tc>
        <w:tc>
          <w:tcPr/>
          <w:p>
            <w:pPr>
              <w:pStyle w:val="Compact"/>
            </w:pPr>
            <w:r>
              <w:t xml:space="preserve">The Law is not merely cultic — it is to order the civic life of the covenant community</w:t>
            </w:r>
          </w:p>
        </w:tc>
      </w:tr>
      <w:tr>
        <w:tc>
          <w:tcPr/>
          <w:p>
            <w:pPr>
              <w:pStyle w:val="Compact"/>
            </w:pPr>
            <w:r>
              <w:t xml:space="preserve">26</w:t>
            </w:r>
          </w:p>
        </w:tc>
        <w:tc>
          <w:tcPr/>
          <w:p>
            <w:pPr>
              <w:pStyle w:val="Compact"/>
            </w:pPr>
            <w:r>
              <w:t xml:space="preserve">Punishment for those who do not obey: death, banishment, confiscation, or imprisonment</w:t>
            </w:r>
          </w:p>
        </w:tc>
        <w:tc>
          <w:tcPr/>
          <w:p>
            <w:pPr>
              <w:pStyle w:val="Compact"/>
            </w:pPr>
            <w:r>
              <w:t xml:space="preserve">The Law carries real authority — Ezra’s commission has teeth</w:t>
            </w:r>
          </w:p>
        </w:tc>
      </w:tr>
      <w:tr>
        <w:tc>
          <w:tcPr/>
          <w:p>
            <w:pPr>
              <w:pStyle w:val="Compact"/>
            </w:pPr>
            <w:r>
              <w:t xml:space="preserve">27</w:t>
            </w:r>
          </w:p>
        </w:tc>
        <w:tc>
          <w:tcPr/>
          <w:p>
            <w:pPr>
              <w:pStyle w:val="Compact"/>
            </w:pPr>
            <w:r>
              <w:t xml:space="preserve">Ezra’s doxology:</w:t>
            </w:r>
            <w:r>
              <w:t xml:space="preserve"> </w:t>
            </w:r>
            <w:r>
              <w:t xml:space="preserve">“Blessed be the LORD, the God of our fathers, who put such a thing as this into the heart of the king”</w:t>
            </w:r>
          </w:p>
        </w:tc>
        <w:tc>
          <w:tcPr/>
          <w:p>
            <w:pPr>
              <w:pStyle w:val="Compact"/>
            </w:pPr>
            <w:r>
              <w:t xml:space="preserve">The theological reframe: the decree is God’s doing, not Artaxerxes’ generosity</w:t>
            </w:r>
          </w:p>
        </w:tc>
      </w:tr>
      <w:tr>
        <w:tc>
          <w:tcPr/>
          <w:p>
            <w:pPr>
              <w:pStyle w:val="Compact"/>
            </w:pPr>
            <w:r>
              <w:t xml:space="preserve">28a</w:t>
            </w:r>
          </w:p>
        </w:tc>
        <w:tc>
          <w:tcPr/>
          <w:p>
            <w:pPr>
              <w:pStyle w:val="Compact"/>
            </w:pPr>
            <w:r>
              <w:t xml:space="preserve">“And has extended steadfast love to me before the king and his counselors”</w:t>
            </w:r>
          </w:p>
        </w:tc>
        <w:tc>
          <w:tcPr/>
          <w:p>
            <w:pPr>
              <w:pStyle w:val="Compact"/>
            </w:pPr>
            <w:r>
              <w:rPr>
                <w:i/>
                <w:iCs/>
              </w:rPr>
              <w:t xml:space="preserve">Hesed</w:t>
            </w:r>
            <w:r>
              <w:t xml:space="preserve"> </w:t>
            </w:r>
            <w:r>
              <w:t xml:space="preserve">— covenant faithfulness — is the theological category for what the imperial favor represents</w:t>
            </w:r>
          </w:p>
        </w:tc>
      </w:tr>
      <w:tr>
        <w:tc>
          <w:tcPr/>
          <w:p>
            <w:pPr>
              <w:pStyle w:val="Compact"/>
            </w:pPr>
            <w:r>
              <w:t xml:space="preserve">28b</w:t>
            </w:r>
          </w:p>
        </w:tc>
        <w:tc>
          <w:tcPr/>
          <w:p>
            <w:pPr>
              <w:pStyle w:val="Compact"/>
            </w:pPr>
            <w:r>
              <w:t xml:space="preserve">“I took courage, for the hand of the LORD my God was upon me”</w:t>
            </w:r>
          </w:p>
        </w:tc>
        <w:tc>
          <w:tcPr/>
          <w:p>
            <w:pPr>
              <w:pStyle w:val="Compact"/>
            </w:pPr>
            <w:r>
              <w:t xml:space="preserve">Third occurrence of the refrain; now first-person; courage flows from divine presence, not from political circumstance</w:t>
            </w:r>
          </w:p>
        </w:tc>
      </w:tr>
      <w:tr>
        <w:tc>
          <w:tcPr/>
          <w:p>
            <w:pPr>
              <w:pStyle w:val="Compact"/>
            </w:pPr>
            <w:r>
              <w:t xml:space="preserve">28c</w:t>
            </w:r>
          </w:p>
        </w:tc>
        <w:tc>
          <w:tcPr/>
          <w:p>
            <w:pPr>
              <w:pStyle w:val="Compact"/>
            </w:pPr>
            <w:r>
              <w:t xml:space="preserve">Ezra gathers the leaders of Israel to go up with him</w:t>
            </w:r>
          </w:p>
        </w:tc>
        <w:tc>
          <w:tcPr/>
          <w:p>
            <w:pPr>
              <w:pStyle w:val="Compact"/>
            </w:pPr>
            <w:r>
              <w:t xml:space="preserve">The mission begins — the chapter closes with movement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Qualified Servant: Ezra’s Priestly Credentials</w:t>
            </w:r>
          </w:p>
        </w:tc>
      </w:tr>
      <w:tr>
        <w:tc>
          <w:tcPr/>
          <w:p>
            <w:pPr>
              <w:pStyle w:val="Compact"/>
            </w:pPr>
            <w:r>
              <w:t xml:space="preserve">2</w:t>
            </w:r>
          </w:p>
        </w:tc>
        <w:tc>
          <w:tcPr/>
          <w:p>
            <w:pPr>
              <w:pStyle w:val="Compact"/>
            </w:pPr>
            <w:r>
              <w:t xml:space="preserve">6–10</w:t>
            </w:r>
          </w:p>
        </w:tc>
        <w:tc>
          <w:tcPr/>
          <w:p>
            <w:pPr>
              <w:pStyle w:val="Compact"/>
            </w:pPr>
            <w:r>
              <w:t xml:space="preserve">The Prepared Servant: Ezra’s Character and Commission</w:t>
            </w:r>
          </w:p>
        </w:tc>
      </w:tr>
      <w:tr>
        <w:tc>
          <w:tcPr/>
          <w:p>
            <w:pPr>
              <w:pStyle w:val="Compact"/>
            </w:pPr>
            <w:r>
              <w:t xml:space="preserve">3</w:t>
            </w:r>
          </w:p>
        </w:tc>
        <w:tc>
          <w:tcPr/>
          <w:p>
            <w:pPr>
              <w:pStyle w:val="Compact"/>
            </w:pPr>
            <w:r>
              <w:t xml:space="preserve">11–26</w:t>
            </w:r>
          </w:p>
        </w:tc>
        <w:tc>
          <w:tcPr/>
          <w:p>
            <w:pPr>
              <w:pStyle w:val="Compact"/>
            </w:pPr>
            <w:r>
              <w:t xml:space="preserve">The Sovereign Provision: The King’s Letter and Its Extraordinary Reach</w:t>
            </w:r>
          </w:p>
        </w:tc>
      </w:tr>
      <w:tr>
        <w:tc>
          <w:tcPr/>
          <w:p>
            <w:pPr>
              <w:pStyle w:val="Compact"/>
            </w:pPr>
            <w:r>
              <w:t xml:space="preserve">4</w:t>
            </w:r>
          </w:p>
        </w:tc>
        <w:tc>
          <w:tcPr/>
          <w:p>
            <w:pPr>
              <w:pStyle w:val="Compact"/>
            </w:pPr>
            <w:r>
              <w:t xml:space="preserve">27–28</w:t>
            </w:r>
          </w:p>
        </w:tc>
        <w:tc>
          <w:tcPr/>
          <w:p>
            <w:pPr>
              <w:pStyle w:val="Compact"/>
            </w:pPr>
            <w:r>
              <w:t xml:space="preserve">The Doxological Response: God Gets the Credit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sovereignly sends His Word-bearer to restore the Law to His people.</w:t>
      </w:r>
    </w:p>
    <w:p>
      <w:pPr>
        <w:pStyle w:val="BodyText"/>
      </w:pPr>
      <w:r>
        <w:rPr>
          <w:b/>
          <w:bCs/>
        </w:rPr>
        <w:t xml:space="preserve">Primary Claim:</w:t>
      </w:r>
      <w:r>
        <w:t xml:space="preserve"> </w:t>
      </w:r>
      <w:r>
        <w:t xml:space="preserve">God is demonstrating — through a prepared scribe, a providential commission, and a pagan king’s decree — that His commitment to keeping His Word alive among His people is relentless and requires no human permission to advance.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purposes advance through prepared people, not merely willing people.</w:t>
      </w:r>
      <w:r>
        <w:t xml:space="preserve"> </w:t>
      </w:r>
      <w:r>
        <w:rPr>
          <w:i/>
          <w:iCs/>
        </w:rPr>
        <w:t xml:space="preserve">(Mind/belief)</w:t>
      </w:r>
      <w:r>
        <w:t xml:space="preserve"> </w:t>
      </w:r>
      <w:r>
        <w:t xml:space="preserve">Ezra did not simply arrive with good intentions — he arrived with a lifetime of ordered devotion to the text he was sent to deliver. The passage forces a reckoning with the difference between willingness and preparation. Many people are willing to serve; few have set their heart to study, do, and then teach — in that order. Where the church suffers from thin biblical teaching, the diagnosis is rarely a shortage of volunteers. It is a shortage of people who have done what Ezra did: submitted themselves to the long, quiet discipline of knowing the Word before handling it publicly. The application is not guilt but recalibration: if God uses prepared servants, preparation is not optional for those who want to be useful to Him.</w:t>
      </w:r>
    </w:p>
    <w:p>
      <w:pPr>
        <w:pStyle w:val="BodyText"/>
      </w:pPr>
      <w:r>
        <w:rPr>
          <w:b/>
          <w:bCs/>
        </w:rPr>
        <w:t xml:space="preserve">2. Trace the</w:t>
      </w:r>
      <w:r>
        <w:rPr>
          <w:b/>
          <w:bCs/>
        </w:rPr>
        <w:t xml:space="preserve"> </w:t>
      </w:r>
      <w:r>
        <w:rPr>
          <w:b/>
          <w:bCs/>
        </w:rPr>
        <w:t xml:space="preserve">“good hand of your God”</w:t>
      </w:r>
      <w:r>
        <w:rPr>
          <w:b/>
          <w:bCs/>
        </w:rPr>
        <w:t xml:space="preserve"> </w:t>
      </w:r>
      <w:r>
        <w:rPr>
          <w:b/>
          <w:bCs/>
        </w:rPr>
        <w:t xml:space="preserve">in your own story and refuse to explain it away.</w:t>
      </w:r>
      <w:r>
        <w:t xml:space="preserve"> </w:t>
      </w:r>
      <w:r>
        <w:rPr>
          <w:i/>
          <w:iCs/>
        </w:rPr>
        <w:t xml:space="preserve">(Affections/worship)</w:t>
      </w:r>
      <w:r>
        <w:t xml:space="preserve"> </w:t>
      </w:r>
      <w:r>
        <w:t xml:space="preserve">Ezra’s refrain —</w:t>
      </w:r>
      <w:r>
        <w:t xml:space="preserve"> </w:t>
      </w:r>
      <w:r>
        <w:t xml:space="preserve">“the good hand of his God was upon him”</w:t>
      </w:r>
      <w:r>
        <w:t xml:space="preserve"> </w:t>
      </w:r>
      <w:r>
        <w:t xml:space="preserve">— appears three times in this chapter, and twice it explains outcomes that could easily be attributed to political circumstance, personal networking, or fortunate timing. Ezra refuses that explanation. The discipline this passage calls for is not merely theological acknowledgment but an active, regular practice of returning to your own history and identifying where the LORD’s hand was present in what you were tempted to call luck, preparation, or coincidence. This is not mysticism — it is the covenantal practice of a person who has learned, like Ezra, to read their story theologically. Worship grows where this practice takes root.</w:t>
      </w:r>
    </w:p>
    <w:p>
      <w:pPr>
        <w:pStyle w:val="BodyText"/>
      </w:pPr>
      <w:r>
        <w:rPr>
          <w:b/>
          <w:bCs/>
        </w:rPr>
        <w:t xml:space="preserve">3. Let the sequence of Ezra 10 govern how you handle God’s Word: study it, live it, then teach it — in that order.</w:t>
      </w:r>
      <w:r>
        <w:t xml:space="preserve"> </w:t>
      </w:r>
      <w:r>
        <w:rPr>
          <w:i/>
          <w:iCs/>
        </w:rPr>
        <w:t xml:space="preserve">(Will/behavior)</w:t>
      </w:r>
      <w:r>
        <w:t xml:space="preserve"> </w:t>
      </w:r>
      <w:r>
        <w:t xml:space="preserve">The three-part order of v. 10 is not decorative. It is a discipline with a logic: you cannot faithfully teach what you have not lived, and you cannot faithfully live what you have not studied. The common failure is to invert the sequence — to teach before studying deeply, or to study without the intention of personal obedience, or to skip from study to teaching with no intervening apprenticeship of personal practice. For anyone who teaches, leads a small group, parents children, or mentors others, the application is concrete: audit your own sequence. Where has teaching outrun living? Where has studying remained theoretical and unapplied? Ezra’s three-part order is a self-diagnostic available to every believer with teaching responsibility.</w:t>
      </w:r>
    </w:p>
    <w:p>
      <w:pPr>
        <w:pStyle w:val="BodyText"/>
      </w:pPr>
      <w:r>
        <w:rPr>
          <w:b/>
          <w:bCs/>
        </w:rPr>
        <w:t xml:space="preserve">4. Stop being surprised when God uses unlikely instruments to advance His purposes.</w:t>
      </w:r>
      <w:r>
        <w:t xml:space="preserve"> </w:t>
      </w:r>
      <w:r>
        <w:rPr>
          <w:i/>
          <w:iCs/>
        </w:rPr>
        <w:t xml:space="preserve">(Mind/belief)</w:t>
      </w:r>
      <w:r>
        <w:t xml:space="preserve"> </w:t>
      </w:r>
      <w:r>
        <w:t xml:space="preserve">Artaxerxes was a pagan king with no saving knowledge of the God of Israel. He funded temple worship, exempted priests from taxation, appointed judges for the covenant community, and decreed that</w:t>
      </w:r>
      <w:r>
        <w:t xml:space="preserve"> </w:t>
      </w:r>
      <w:r>
        <w:t xml:space="preserve">“whatever is decreed by the God of heaven, let it be done in full.”</w:t>
      </w:r>
      <w:r>
        <w:t xml:space="preserve"> </w:t>
      </w:r>
      <w:r>
        <w:t xml:space="preserve">He did all of this while not yet knowing the God he was serving. This passage teaches that God is not limited to working through believers, through sympathetic institutions, or through comfortable political environments. He turns the king’s heart. To live as though God’s mission requires favorable circumstances, cooperative governments, or cultural permission is to miss what the entire second movement of Ezra demonstrates: the LORD’s purposes advance through instruments He has chosen, on a timetable He has set, regardless of those instruments’ awareness of what they are doing.</w:t>
      </w:r>
    </w:p>
    <w:p>
      <w:pPr>
        <w:pStyle w:val="BodyText"/>
      </w:pPr>
      <w:r>
        <w:rPr>
          <w:b/>
          <w:bCs/>
        </w:rPr>
        <w:t xml:space="preserve">5. Let Ezra’s doxology discipline how you respond to answered prayer and providential provision.</w:t>
      </w:r>
      <w:r>
        <w:t xml:space="preserve"> </w:t>
      </w:r>
      <w:r>
        <w:rPr>
          <w:i/>
          <w:iCs/>
        </w:rPr>
        <w:t xml:space="preserve">(Affections/worship)</w:t>
      </w:r>
      <w:r>
        <w:t xml:space="preserve"> </w:t>
      </w:r>
      <w:r>
        <w:t xml:space="preserve">When the remarkable happens — when a door opens that should have been shut, when provision arrives that had no natural explanation, when resistance dissolves without your engineering — the instinct is relief, gratitude to the human intermediary, and forward motion. Ezra stops. He blesses the LORD. He names</w:t>
      </w:r>
      <w:r>
        <w:t xml:space="preserve"> </w:t>
      </w:r>
      <w:r>
        <w:rPr>
          <w:i/>
          <w:iCs/>
        </w:rPr>
        <w:t xml:space="preserve">hesed</w:t>
      </w:r>
      <w:r>
        <w:t xml:space="preserve"> </w:t>
      </w:r>
      <w:r>
        <w:t xml:space="preserve">— covenant faithfulness — as the category for what he has received. He locates his own courage not in the favorable outcome but in</w:t>
      </w:r>
      <w:r>
        <w:t xml:space="preserve"> </w:t>
      </w:r>
      <w:r>
        <w:t xml:space="preserve">“the hand of the LORD my God was upon me.”</w:t>
      </w:r>
      <w:r>
        <w:t xml:space="preserve"> </w:t>
      </w:r>
      <w:r>
        <w:t xml:space="preserve">The application is behavioral and habitual: build a practice of doxology before forward motion. Before you act on the provision, name the Giver. Before you strategize the next step, worship the One who cleared the last one. Ezra did not take the royal letter and immediately start packing. He blessed God first.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7 teaches that God is sovereignly committed to the preservation and delivery of His Word among His covenant people — and that this commitment operates through both divine initiative and human instrumentality without collapsing either. The passage reveals that God’s providential governance extends to the hearts of pagan rulers (Prov. 21:1), that His purposes cannot be frustrated by political displacement or national exile, and that He equips His servants specifically and substantially before sending them. The triple occurrence of</w:t>
      </w:r>
      <w:r>
        <w:t xml:space="preserve"> </w:t>
      </w:r>
      <w:r>
        <w:t xml:space="preserve">“the good hand of his God”</w:t>
      </w:r>
      <w:r>
        <w:t xml:space="preserve"> </w:t>
      </w:r>
      <w:r>
        <w:t xml:space="preserve">functions as a theological interpretive key: the chapter wants to be read not as a political or biographical narrative but as a theological testimony to the LORD’s active, purposeful involvement in the details of His people’s covenant life. Ezra’s</w:t>
      </w:r>
      <w:r>
        <w:t xml:space="preserve"> </w:t>
      </w:r>
      <w:r>
        <w:rPr>
          <w:i/>
          <w:iCs/>
        </w:rPr>
        <w:t xml:space="preserve">hesed</w:t>
      </w:r>
      <w:r>
        <w:t xml:space="preserve"> </w:t>
      </w:r>
      <w:r>
        <w:t xml:space="preserve">language in v. 28 grounds this in covenant — God’s provision is not random favor but the expression of His loyal covenant love to the people He has bound Himself to.</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sustained illustration of the Reformed doctrine of divine providence — specifically, the claim that God governs all things, including the decisions of rulers who do not acknowledge Him, toward His own redemptive ends. The Belgic Confession’s language (Art. 13) that</w:t>
      </w:r>
      <w:r>
        <w:t xml:space="preserve"> </w:t>
      </w:r>
      <w:r>
        <w:t xml:space="preserve">“nothing happens by chance”</w:t>
      </w:r>
      <w:r>
        <w:t xml:space="preserve"> </w:t>
      </w:r>
      <w:r>
        <w:t xml:space="preserve">finds narrative embodiment here: Artaxerxes’ decree is not a fortunate coincidence that Ezra leverages — it is God’s instrument. The chapter also illustrates the means-of-grace principle central to Reformed ecclesiology: God sustains His church through the faithful ministry of His Word, and He calls, prepares, and sends qualified servants to that end. Ezra’s threefold commission (study → do → teach) anticipates the New Testament pattern of the pastor-teacher and grounds the Reformed conviction that the church is reformed and sustained by the Word alone (</w:t>
      </w:r>
      <w:r>
        <w:rPr>
          <w:i/>
          <w:iCs/>
        </w:rPr>
        <w:t xml:space="preserve">sola Scriptura</w:t>
      </w:r>
      <w:r>
        <w:t xml:space="preserve"> </w:t>
      </w:r>
      <w:r>
        <w:t xml:space="preserve">not merely as a source-principle but as an ongoing formative power). The doxology of vv. 27–28 models the Reformed instinct to trace every good gift back to the sovereign God who gave it, refusing all rival explanations.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 not need favorable circumstances, cooperative governments, or perfectly positioned servants to accomplish what He has purposed for His people. He prepares the servant, moves the king, clears the road, and then gets the credit. What He asks of those He sends is what Ezra gave Him: a heart set — in order — on knowing His Word, living His Word, and delivering His Word. That is enough. It has always been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Ezra to a biography rather than a theology.</w:t>
      </w:r>
      <w:r>
        <w:t xml:space="preserve"> </w:t>
      </w:r>
      <w:r>
        <w:t xml:space="preserve">The most common mishandling of this chapter is preaching Ezra as an inspiring exemplary figure —</w:t>
      </w:r>
      <w:r>
        <w:t xml:space="preserve"> </w:t>
      </w:r>
      <w:r>
        <w:t xml:space="preserve">“be like Ezra.”</w:t>
      </w:r>
      <w:r>
        <w:t xml:space="preserve"> </w:t>
      </w:r>
      <w:r>
        <w:t xml:space="preserve">This is not wrong in every respect (the passage does commend Ezra’s devotion), but it is radically incomplete. The chapter’s own theological refrain (</w:t>
      </w:r>
      <w:r>
        <w:t xml:space="preserve">“the good hand of his God”</w:t>
      </w:r>
      <w:r>
        <w:t xml:space="preserve">) insists that the explanation for everything in this chapter is not Ezra’s character but God’s sovereign action. Preach the theology first; let Ezra’s character illustrate it, not replace it.</w:t>
      </w:r>
    </w:p>
    <w:p>
      <w:pPr>
        <w:numPr>
          <w:ilvl w:val="0"/>
          <w:numId w:val="1002"/>
        </w:numPr>
      </w:pPr>
      <w:r>
        <w:rPr>
          <w:b/>
          <w:bCs/>
        </w:rPr>
        <w:t xml:space="preserve">Skipping or spiritualizing the genealogy.</w:t>
      </w:r>
      <w:r>
        <w:t xml:space="preserve"> </w:t>
      </w:r>
      <w:r>
        <w:t xml:space="preserve">Preachers routinely omit vv. 1–5 as preachable text, treating them as a biographical header. But the genealogy is doing argumentative work: it establishes that Ezra’s authority to handle and teach the Law is covenantally grounded, not personally generated. Without the genealogy, the passage begins with a gifted scribe who happens to do well; with it, the passage begins with a man whose entire fitness for mission is rooted in God’s prior covenant structure. Don’t skip it — explain what genealogical credentials meant in this context.</w:t>
      </w:r>
    </w:p>
    <w:p>
      <w:pPr>
        <w:numPr>
          <w:ilvl w:val="0"/>
          <w:numId w:val="1002"/>
        </w:numPr>
      </w:pPr>
      <w:r>
        <w:rPr>
          <w:b/>
          <w:bCs/>
        </w:rPr>
        <w:t xml:space="preserve">Psychologizing</w:t>
      </w:r>
      <w:r>
        <w:rPr>
          <w:b/>
          <w:bCs/>
        </w:rPr>
        <w:t xml:space="preserve"> </w:t>
      </w:r>
      <w:r>
        <w:rPr>
          <w:b/>
          <w:bCs/>
        </w:rPr>
        <w:t xml:space="preserve">“set his heart”</w:t>
      </w:r>
      <w:r>
        <w:rPr>
          <w:b/>
          <w:bCs/>
        </w:rPr>
        <w:t xml:space="preserve"> </w:t>
      </w:r>
      <w:r>
        <w:rPr>
          <w:b/>
          <w:bCs/>
        </w:rPr>
        <w:t xml:space="preserve">without the surrounding theological frame.</w:t>
      </w:r>
      <w:r>
        <w:t xml:space="preserve"> </w:t>
      </w:r>
      <w:r>
        <w:t xml:space="preserve">Verse 10 is highly quotable and frequently preached in isolation as a motivational call to personal devotion. The risk is that</w:t>
      </w:r>
      <w:r>
        <w:t xml:space="preserve"> </w:t>
      </w:r>
      <w:r>
        <w:t xml:space="preserve">“Ezra set his heart”</w:t>
      </w:r>
      <w:r>
        <w:t xml:space="preserve"> </w:t>
      </w:r>
      <w:r>
        <w:t xml:space="preserve">becomes a human-will-power verse — as though the lesson is: commit hard enough, and God will bless your ministry. The text will not support that reading. The</w:t>
      </w:r>
      <w:r>
        <w:t xml:space="preserve"> </w:t>
      </w:r>
      <w:r>
        <w:t xml:space="preserve">“good hand of his God upon him”</w:t>
      </w:r>
      <w:r>
        <w:t xml:space="preserve"> </w:t>
      </w:r>
      <w:r>
        <w:t xml:space="preserve">is the frame that governs v. 10; Ezra’s preparation is the means, not the cause, of God’s favor. Preach v. 10 inside its surrounding context, not as a standalone principle.</w:t>
      </w:r>
    </w:p>
    <w:p>
      <w:pPr>
        <w:numPr>
          <w:ilvl w:val="0"/>
          <w:numId w:val="1002"/>
        </w:numPr>
      </w:pPr>
      <w:r>
        <w:rPr>
          <w:b/>
          <w:bCs/>
        </w:rPr>
        <w:t xml:space="preserve">Treating Artaxerxes’ decree as primarily political background.</w:t>
      </w:r>
      <w:r>
        <w:t xml:space="preserve"> </w:t>
      </w:r>
      <w:r>
        <w:t xml:space="preserve">The royal letter occupies 16 verses (vv. 11–26) and is the longest single unit in the chapter. It is not background — it is evidence. The preacher who rushes through it to get to Ezra’s doxology misses the point: the extraordinary, improbable, comprehensive provision of the letter is precisely what makes the doxology theologically loaded. Slow down in the letter. Let the congregation feel how remarkable it is — so that when Ezra says</w:t>
      </w:r>
      <w:r>
        <w:t xml:space="preserve"> </w:t>
      </w:r>
      <w:r>
        <w:t xml:space="preserve">“the LORD put this into the heart of the king,”</w:t>
      </w:r>
      <w:r>
        <w:t xml:space="preserve"> </w:t>
      </w:r>
      <w:r>
        <w:t xml:space="preserve">the weight of that claim lands.</w:t>
      </w:r>
    </w:p>
    <w:p>
      <w:pPr>
        <w:numPr>
          <w:ilvl w:val="0"/>
          <w:numId w:val="1002"/>
        </w:numPr>
      </w:pPr>
      <w:r>
        <w:rPr>
          <w:b/>
          <w:bCs/>
        </w:rPr>
        <w:t xml:space="preserve">Missing the</w:t>
      </w:r>
      <w:r>
        <w:rPr>
          <w:b/>
          <w:bCs/>
        </w:rPr>
        <w:t xml:space="preserve"> </w:t>
      </w:r>
      <w:r>
        <w:rPr>
          <w:b/>
          <w:bCs/>
          <w:i/>
          <w:iCs/>
        </w:rPr>
        <w:t xml:space="preserve">hesed</w:t>
      </w:r>
      <w:r>
        <w:rPr>
          <w:b/>
          <w:bCs/>
        </w:rPr>
        <w:t xml:space="preserve"> </w:t>
      </w:r>
      <w:r>
        <w:rPr>
          <w:b/>
          <w:bCs/>
        </w:rPr>
        <w:t xml:space="preserve">(steadfast love) language in v. 28.</w:t>
      </w:r>
      <w:r>
        <w:t xml:space="preserve"> </w:t>
      </w:r>
      <w:r>
        <w:t xml:space="preserve">Ezra does not describe what has happened as fortunate, as politically skillful, or even merely as answered prayer. He calls it</w:t>
      </w:r>
      <w:r>
        <w:t xml:space="preserve"> </w:t>
      </w:r>
      <w:r>
        <w:rPr>
          <w:i/>
          <w:iCs/>
        </w:rPr>
        <w:t xml:space="preserve">hesed</w:t>
      </w:r>
      <w:r>
        <w:t xml:space="preserve"> </w:t>
      </w:r>
      <w:r>
        <w:t xml:space="preserve">— covenant faithfulness. This is a precise theological claim: what Artaxerxes did was an expression of God’s covenant love for His people. That framing matters enormously for application: the provision was not a transaction but an expression of a relationship. Preaching that omits</w:t>
      </w:r>
      <w:r>
        <w:t xml:space="preserve"> </w:t>
      </w:r>
      <w:r>
        <w:rPr>
          <w:i/>
          <w:iCs/>
        </w:rPr>
        <w:t xml:space="preserve">hesed</w:t>
      </w:r>
      <w:r>
        <w:t xml:space="preserve"> </w:t>
      </w:r>
      <w:r>
        <w:t xml:space="preserve">loses the covenantal depth of Ezra’s response.</w:t>
      </w:r>
    </w:p>
    <w:p>
      <w:pPr>
        <w:numPr>
          <w:ilvl w:val="0"/>
          <w:numId w:val="1002"/>
        </w:numPr>
      </w:pPr>
      <w:r>
        <w:rPr>
          <w:b/>
          <w:bCs/>
        </w:rPr>
        <w:t xml:space="preserve">Applying the passage only to</w:t>
      </w:r>
      <w:r>
        <w:rPr>
          <w:b/>
          <w:bCs/>
        </w:rPr>
        <w:t xml:space="preserve"> </w:t>
      </w:r>
      <w:r>
        <w:rPr>
          <w:b/>
          <w:bCs/>
        </w:rPr>
        <w:t xml:space="preserve">“ministry professionals”</w:t>
      </w:r>
      <w:r>
        <w:rPr>
          <w:b/>
          <w:bCs/>
        </w:rPr>
        <w:t xml:space="preserve"> </w:t>
      </w:r>
      <w:r>
        <w:rPr>
          <w:b/>
          <w:bCs/>
        </w:rPr>
        <w:t xml:space="preserve">or pastors.</w:t>
      </w:r>
      <w:r>
        <w:t xml:space="preserve"> </w:t>
      </w:r>
      <w:r>
        <w:t xml:space="preserve">The v. 10 commission — study, do, teach — is most commonly applied to clergy, teachers, and ministry leaders, as though Ezra’s devotion is a professional standard for the few rather than a pattern for the many. While the text does speak specifically to those with teaching responsibility, the underlying dynamic — knowing the Word in order to live it before you deliver it — applies to every parent, every small group participant, every person who has ever been asked by another person what the Bible says about something. Widen the application without losing the specificity.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2026-07-14T21:03:40Z</dcterms:created>
  <dcterms:modified xsi:type="dcterms:W3CDTF">2026-07-14T21:03:40Z</dcterms:modified>
</cp:coreProperties>
</file>

<file path=docProps/custom.xml><?xml version="1.0" encoding="utf-8"?>
<Properties xmlns="http://schemas.openxmlformats.org/officeDocument/2006/custom-properties" xmlns:vt="http://schemas.openxmlformats.org/officeDocument/2006/docPropsVTypes"/>
</file>